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0" w:rsidRPr="00073079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073079">
        <w:rPr>
          <w:sz w:val="20"/>
          <w:szCs w:val="20"/>
        </w:rPr>
        <w:t xml:space="preserve">Приложение № 1 </w:t>
      </w:r>
    </w:p>
    <w:p w:rsidR="005473B0" w:rsidRPr="00073079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073079">
        <w:rPr>
          <w:sz w:val="20"/>
          <w:szCs w:val="20"/>
        </w:rPr>
        <w:t>к приказу главного врача</w:t>
      </w:r>
    </w:p>
    <w:p w:rsidR="005473B0" w:rsidRPr="00073079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073079">
        <w:rPr>
          <w:sz w:val="20"/>
          <w:szCs w:val="20"/>
        </w:rPr>
        <w:t xml:space="preserve">БУЗ </w:t>
      </w:r>
      <w:proofErr w:type="gramStart"/>
      <w:r w:rsidRPr="00073079">
        <w:rPr>
          <w:sz w:val="20"/>
          <w:szCs w:val="20"/>
        </w:rPr>
        <w:t>ВО</w:t>
      </w:r>
      <w:proofErr w:type="gramEnd"/>
      <w:r w:rsidRPr="00073079">
        <w:rPr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5473B0" w:rsidRPr="00073079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073079">
        <w:rPr>
          <w:sz w:val="20"/>
          <w:szCs w:val="20"/>
        </w:rPr>
        <w:t>№</w:t>
      </w:r>
      <w:r w:rsidR="009F3F46">
        <w:rPr>
          <w:sz w:val="20"/>
          <w:szCs w:val="20"/>
        </w:rPr>
        <w:t xml:space="preserve"> </w:t>
      </w:r>
      <w:r w:rsidR="009A057B" w:rsidRPr="00073079">
        <w:rPr>
          <w:sz w:val="20"/>
          <w:szCs w:val="20"/>
        </w:rPr>
        <w:t>1-2/</w:t>
      </w:r>
      <w:r w:rsidR="009F3F46">
        <w:rPr>
          <w:sz w:val="20"/>
          <w:szCs w:val="20"/>
        </w:rPr>
        <w:t>54</w:t>
      </w:r>
      <w:r w:rsidR="009A057B" w:rsidRPr="00073079">
        <w:rPr>
          <w:sz w:val="20"/>
          <w:szCs w:val="20"/>
        </w:rPr>
        <w:t xml:space="preserve"> </w:t>
      </w:r>
      <w:r w:rsidRPr="00073079">
        <w:rPr>
          <w:sz w:val="20"/>
          <w:szCs w:val="20"/>
        </w:rPr>
        <w:t>от</w:t>
      </w:r>
      <w:r w:rsidR="004B32E8" w:rsidRPr="00073079">
        <w:rPr>
          <w:sz w:val="20"/>
          <w:szCs w:val="20"/>
        </w:rPr>
        <w:t xml:space="preserve"> </w:t>
      </w:r>
      <w:r w:rsidR="009F3F46">
        <w:rPr>
          <w:sz w:val="20"/>
          <w:szCs w:val="20"/>
        </w:rPr>
        <w:t>1</w:t>
      </w:r>
      <w:r w:rsidR="004B32E8" w:rsidRPr="00073079">
        <w:rPr>
          <w:sz w:val="20"/>
          <w:szCs w:val="20"/>
        </w:rPr>
        <w:t>1.</w:t>
      </w:r>
      <w:r w:rsidR="009F3F46">
        <w:rPr>
          <w:sz w:val="20"/>
          <w:szCs w:val="20"/>
        </w:rPr>
        <w:t>12</w:t>
      </w:r>
      <w:r w:rsidR="004B32E8" w:rsidRPr="00073079">
        <w:rPr>
          <w:sz w:val="20"/>
          <w:szCs w:val="20"/>
        </w:rPr>
        <w:t>.</w:t>
      </w:r>
      <w:r w:rsidRPr="00073079">
        <w:rPr>
          <w:sz w:val="20"/>
          <w:szCs w:val="20"/>
        </w:rPr>
        <w:t>20</w:t>
      </w:r>
      <w:r w:rsidR="00073079">
        <w:rPr>
          <w:sz w:val="20"/>
          <w:szCs w:val="20"/>
        </w:rPr>
        <w:t>2</w:t>
      </w:r>
      <w:r w:rsidR="009F3F46">
        <w:rPr>
          <w:sz w:val="20"/>
          <w:szCs w:val="20"/>
        </w:rPr>
        <w:t>3</w:t>
      </w:r>
      <w:r w:rsidRPr="00073079">
        <w:rPr>
          <w:sz w:val="20"/>
          <w:szCs w:val="20"/>
        </w:rPr>
        <w:t xml:space="preserve"> г.</w:t>
      </w:r>
    </w:p>
    <w:p w:rsidR="005473B0" w:rsidRPr="00073079" w:rsidRDefault="005473B0" w:rsidP="009A057B">
      <w:pPr>
        <w:pStyle w:val="Style2"/>
        <w:widowControl/>
        <w:tabs>
          <w:tab w:val="left" w:pos="-851"/>
          <w:tab w:val="left" w:pos="142"/>
        </w:tabs>
        <w:ind w:left="-567" w:right="-819"/>
        <w:jc w:val="center"/>
      </w:pPr>
    </w:p>
    <w:p w:rsidR="005473B0" w:rsidRPr="00073079" w:rsidRDefault="005473B0" w:rsidP="009A057B">
      <w:pPr>
        <w:pStyle w:val="Style2"/>
        <w:widowControl/>
        <w:tabs>
          <w:tab w:val="left" w:pos="-851"/>
          <w:tab w:val="left" w:pos="142"/>
        </w:tabs>
        <w:ind w:right="-819"/>
      </w:pPr>
    </w:p>
    <w:p w:rsidR="005473B0" w:rsidRPr="00073079" w:rsidRDefault="00073079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>АНТИКОРРУПЦИОННАЯ ПОЛИТИКА</w:t>
      </w:r>
      <w:r w:rsidR="005473B0" w:rsidRPr="00073079">
        <w:rPr>
          <w:rStyle w:val="FontStyle17"/>
          <w:sz w:val="24"/>
          <w:szCs w:val="24"/>
        </w:rPr>
        <w:br/>
        <w:t>бюджетного учреждения здравоохранения Вологодской области</w:t>
      </w:r>
      <w:r w:rsidR="005473B0" w:rsidRPr="00073079">
        <w:rPr>
          <w:rStyle w:val="FontStyle17"/>
          <w:sz w:val="24"/>
          <w:szCs w:val="24"/>
        </w:rPr>
        <w:br/>
        <w:t>«Детский специализированный психоневрологический санаторий»</w:t>
      </w:r>
    </w:p>
    <w:p w:rsidR="005473B0" w:rsidRPr="00073079" w:rsidRDefault="005473B0" w:rsidP="00073079">
      <w:pPr>
        <w:pStyle w:val="Style4"/>
        <w:widowControl/>
        <w:tabs>
          <w:tab w:val="left" w:pos="-851"/>
          <w:tab w:val="left" w:pos="142"/>
        </w:tabs>
        <w:ind w:left="-567" w:right="-819"/>
        <w:jc w:val="both"/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0" w:name="sub_1"/>
      <w:r w:rsidRPr="00073079">
        <w:rPr>
          <w:rFonts w:ascii="Times New Roman CYR" w:eastAsiaTheme="minorEastAsia" w:hAnsi="Times New Roman CYR" w:cs="Times New Roman CYR"/>
          <w:b/>
          <w:bCs/>
        </w:rPr>
        <w:t>1. Цели и задачи внедрения антикоррупционной политики</w:t>
      </w:r>
    </w:p>
    <w:bookmarkEnd w:id="0"/>
    <w:p w:rsidR="00073079" w:rsidRPr="00073079" w:rsidRDefault="00073079" w:rsidP="00073079">
      <w:pPr>
        <w:ind w:left="-567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9F3F46">
      <w:pPr>
        <w:ind w:left="-567" w:firstLine="709"/>
        <w:jc w:val="both"/>
        <w:rPr>
          <w:rFonts w:ascii="Times New Roman CYR" w:eastAsiaTheme="minorEastAsia" w:hAnsi="Times New Roman CYR" w:cs="Times New Roman CYR"/>
        </w:rPr>
      </w:pPr>
      <w:bookmarkStart w:id="1" w:name="_GoBack"/>
      <w:bookmarkEnd w:id="1"/>
      <w:r w:rsidRPr="00073079">
        <w:rPr>
          <w:rFonts w:ascii="Times New Roman CYR" w:eastAsiaTheme="minorEastAsia" w:hAnsi="Times New Roman CYR" w:cs="Times New Roman CYR"/>
        </w:rPr>
        <w:t xml:space="preserve">1.1.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 xml:space="preserve">Антикоррупционная политика разработана в соответствии с положениями </w:t>
      </w:r>
      <w:hyperlink r:id="rId8" w:history="1">
        <w:r w:rsidRPr="00073079">
          <w:rPr>
            <w:rFonts w:ascii="Times New Roman CYR" w:eastAsiaTheme="minorEastAsia" w:hAnsi="Times New Roman CYR" w:cs="Times New Roman CYR"/>
          </w:rPr>
          <w:t>Федерального закона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от 25 декабря 2008 г. N 273-ФЗ "О противодействии коррупции" и </w:t>
      </w:r>
      <w:hyperlink r:id="rId9" w:history="1">
        <w:r w:rsidRPr="00073079">
          <w:rPr>
            <w:rFonts w:ascii="Times New Roman CYR" w:eastAsiaTheme="minorEastAsia" w:hAnsi="Times New Roman CYR" w:cs="Times New Roman CYR"/>
          </w:rPr>
          <w:t>методических рекомендаций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1.2. Настоящая Антикоррупционная политика является внутренним документом </w:t>
      </w:r>
      <w:r>
        <w:rPr>
          <w:rFonts w:ascii="Times New Roman CYR" w:eastAsiaTheme="minorEastAsia" w:hAnsi="Times New Roman CYR" w:cs="Times New Roman CYR"/>
        </w:rPr>
        <w:t xml:space="preserve">БУЗ </w:t>
      </w:r>
      <w:proofErr w:type="gramStart"/>
      <w:r>
        <w:rPr>
          <w:rFonts w:ascii="Times New Roman CYR" w:eastAsiaTheme="minorEastAsia" w:hAnsi="Times New Roman CYR" w:cs="Times New Roman CYR"/>
        </w:rPr>
        <w:t>ВО</w:t>
      </w:r>
      <w:proofErr w:type="gramEnd"/>
      <w:r>
        <w:rPr>
          <w:rFonts w:ascii="Times New Roman CYR" w:eastAsiaTheme="minorEastAsia" w:hAnsi="Times New Roman CYR" w:cs="Times New Roman CYR"/>
        </w:rPr>
        <w:t xml:space="preserve"> «Детский специализированный психоневрологический санаторий»</w:t>
      </w:r>
      <w:r w:rsidRPr="00073079">
        <w:rPr>
          <w:rFonts w:ascii="Times New Roman CYR" w:eastAsiaTheme="minorEastAsia" w:hAnsi="Times New Roman CYR" w:cs="Times New Roman CYR"/>
        </w:rPr>
        <w:t xml:space="preserve"> (далее - Организация), направленным на профилактику и пресечение коррупционных правонарушений в деятельности Организации.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1.3. Основными целями внедрения в Организации Антикоррупционной политики являются: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минимизация риска вовлечения Организации, ее руководства и работников в коррупционную деятельность;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формирование у работников Организации независимо от занимаемой должности, контрагентов и иных лиц единообразного понимания политики Организации о неприятии коррупции в любых формах и проявлениях;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обобщение и разъяснение основных требований законодательства РФ в области противодействия коррупции, применяемых в Организации.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1.4. Для достижения поставленных целей устанавливаются следующие задачи внедрения Антикоррупционной политики в Организации: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закрепление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основных принципов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антикоррупционной деятельности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определение области применения Политики и круга лиц, попадающих под ее действие;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определение должностных лиц Организации, ответственных за реализацию Антикоррупционной политики;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установление перечня реализуемых Организацией антикоррупционных мероприятий, стандартов и процедур и порядка их выполнения (применения);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закрепление ответственности сотрудников Организации за несоблюдение требований Антикоррупционной политики.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2" w:name="sub_2"/>
      <w:r w:rsidRPr="00073079">
        <w:rPr>
          <w:rFonts w:ascii="Times New Roman CYR" w:eastAsiaTheme="minorEastAsia" w:hAnsi="Times New Roman CYR" w:cs="Times New Roman CYR"/>
          <w:b/>
          <w:bCs/>
        </w:rPr>
        <w:t>2. Используемые в политике понятия и определения</w:t>
      </w:r>
    </w:p>
    <w:bookmarkEnd w:id="2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  <w:b/>
          <w:bCs/>
        </w:rPr>
        <w:t>Коррупция</w:t>
      </w:r>
      <w:r w:rsidRPr="00073079">
        <w:rPr>
          <w:rFonts w:ascii="Times New Roman CYR" w:eastAsiaTheme="minorEastAsia" w:hAnsi="Times New Roman CYR" w:cs="Times New Roman CYR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73079">
        <w:rPr>
          <w:rFonts w:ascii="Times New Roman CYR" w:eastAsiaTheme="minorEastAsia" w:hAnsi="Times New Roman CYR" w:cs="Times New Roman CYR"/>
        </w:rPr>
        <w:t>. Коррупцией также является совершение перечисленных деяний от имени или в интересах юридического лица (</w:t>
      </w:r>
      <w:hyperlink r:id="rId10" w:history="1">
        <w:r w:rsidRPr="00073079">
          <w:rPr>
            <w:rFonts w:ascii="Times New Roman CYR" w:eastAsiaTheme="minorEastAsia" w:hAnsi="Times New Roman CYR" w:cs="Times New Roman CYR"/>
          </w:rPr>
          <w:t>пункт 1 статьи 1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Федерального закона от 25 декабря 2008 г. N 273-ФЗ "О </w:t>
      </w:r>
      <w:r w:rsidR="006142E3">
        <w:rPr>
          <w:rFonts w:ascii="Times New Roman CYR" w:eastAsiaTheme="minorEastAsia" w:hAnsi="Times New Roman CYR" w:cs="Times New Roman CYR"/>
        </w:rPr>
        <w:lastRenderedPageBreak/>
        <w:t>противодействии коррупции");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  <w:b/>
          <w:bCs/>
        </w:rPr>
        <w:t>Противодействие коррупции</w:t>
      </w:r>
      <w:r w:rsidRPr="00073079">
        <w:rPr>
          <w:rFonts w:ascii="Times New Roman CYR" w:eastAsiaTheme="minorEastAsia" w:hAnsi="Times New Roman CYR" w:cs="Times New Roman CYR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073079">
          <w:rPr>
            <w:rFonts w:ascii="Times New Roman CYR" w:eastAsiaTheme="minorEastAsia" w:hAnsi="Times New Roman CYR" w:cs="Times New Roman CYR"/>
          </w:rPr>
          <w:t xml:space="preserve">пункт 2 статьи 1 </w:t>
        </w:r>
      </w:hyperlink>
      <w:r w:rsidRPr="00073079">
        <w:rPr>
          <w:rFonts w:ascii="Times New Roman CYR" w:eastAsiaTheme="minorEastAsia" w:hAnsi="Times New Roman CYR" w:cs="Times New Roman CYR"/>
        </w:rPr>
        <w:t>Федерального закона от 25 декабря 2008 г. N 273-ФЗ "О противодействии коррупции"):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в) по минимизации и (или) ликвидации последств</w:t>
      </w:r>
      <w:r w:rsidR="006142E3">
        <w:rPr>
          <w:rFonts w:ascii="Times New Roman CYR" w:eastAsiaTheme="minorEastAsia" w:hAnsi="Times New Roman CYR" w:cs="Times New Roman CYR"/>
        </w:rPr>
        <w:t>ий коррупционных правонарушений;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  <w:b/>
          <w:bCs/>
        </w:rPr>
        <w:t>Взятка</w:t>
      </w:r>
      <w:r w:rsidRPr="00073079">
        <w:rPr>
          <w:rFonts w:ascii="Times New Roman CYR" w:eastAsiaTheme="minorEastAsia" w:hAnsi="Times New Roman CYR" w:cs="Times New Roman CYR"/>
        </w:rPr>
        <w:t xml:space="preserve"> - получение </w:t>
      </w:r>
      <w:r w:rsidR="00210C77">
        <w:rPr>
          <w:rFonts w:ascii="Times New Roman CYR" w:eastAsiaTheme="minorEastAsia" w:hAnsi="Times New Roman CYR" w:cs="Times New Roman CYR"/>
        </w:rPr>
        <w:t xml:space="preserve">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210C77">
        <w:rPr>
          <w:rFonts w:ascii="Times New Roman CYR" w:eastAsiaTheme="minorEastAsia" w:hAnsi="Times New Roman CYR" w:cs="Times New Roman CYR"/>
        </w:rPr>
        <w:t>числе</w:t>
      </w:r>
      <w:proofErr w:type="gramEnd"/>
      <w:r w:rsidR="00210C77">
        <w:rPr>
          <w:rFonts w:ascii="Times New Roman CYR" w:eastAsiaTheme="minorEastAsia" w:hAnsi="Times New Roman CYR" w:cs="Times New Roman CYR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</w:t>
      </w:r>
      <w:r w:rsidR="006142E3">
        <w:rPr>
          <w:rFonts w:ascii="Times New Roman CYR" w:eastAsiaTheme="minorEastAsia" w:hAnsi="Times New Roman CYR" w:cs="Times New Roman CYR"/>
        </w:rPr>
        <w:t>о или попустительство по службе;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  <w:b/>
          <w:bCs/>
        </w:rPr>
        <w:t>Коммерческий подкуп</w:t>
      </w:r>
      <w:r w:rsidRPr="00073079">
        <w:rPr>
          <w:rFonts w:ascii="Times New Roman CYR" w:eastAsiaTheme="minorEastAsia" w:hAnsi="Times New Roman CYR" w:cs="Times New Roman CYR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числе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12" w:history="1">
        <w:r w:rsidRPr="00073079">
          <w:rPr>
            <w:rFonts w:ascii="Times New Roman CYR" w:eastAsiaTheme="minorEastAsia" w:hAnsi="Times New Roman CYR" w:cs="Times New Roman CYR"/>
          </w:rPr>
          <w:t>часть 1 статьи 204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Уголовног</w:t>
      </w:r>
      <w:r w:rsidR="006142E3">
        <w:rPr>
          <w:rFonts w:ascii="Times New Roman CYR" w:eastAsiaTheme="minorEastAsia" w:hAnsi="Times New Roman CYR" w:cs="Times New Roman CYR"/>
        </w:rPr>
        <w:t>о кодекса Российской Федерации);</w:t>
      </w:r>
    </w:p>
    <w:p w:rsidR="00210C77" w:rsidRDefault="00210C77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b/>
          <w:bCs/>
        </w:rPr>
        <w:t xml:space="preserve">Предупреждение коррупции </w:t>
      </w:r>
      <w:r w:rsidRPr="00210C77">
        <w:rPr>
          <w:rFonts w:ascii="Times New Roman CYR" w:eastAsiaTheme="minorEastAsia" w:hAnsi="Times New Roman CYR" w:cs="Times New Roman CYR"/>
        </w:rPr>
        <w:t>-</w:t>
      </w:r>
      <w:r>
        <w:rPr>
          <w:rFonts w:ascii="Times New Roman CYR" w:eastAsiaTheme="minorEastAsia" w:hAnsi="Times New Roman CYR" w:cs="Times New Roman CYR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</w:t>
      </w:r>
      <w:r w:rsidR="006142E3">
        <w:rPr>
          <w:rFonts w:ascii="Times New Roman CYR" w:eastAsiaTheme="minorEastAsia" w:hAnsi="Times New Roman CYR" w:cs="Times New Roman CYR"/>
        </w:rPr>
        <w:t>ие коррупционных правонарушений;</w:t>
      </w:r>
    </w:p>
    <w:p w:rsidR="00210C77" w:rsidRDefault="00210C77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b/>
          <w:bCs/>
        </w:rPr>
        <w:t xml:space="preserve">Работник </w:t>
      </w:r>
      <w:r w:rsidRPr="00210C77">
        <w:rPr>
          <w:rFonts w:ascii="Times New Roman CYR" w:eastAsiaTheme="minorEastAsia" w:hAnsi="Times New Roman CYR" w:cs="Times New Roman CYR"/>
          <w:bCs/>
        </w:rPr>
        <w:t xml:space="preserve">Организации </w:t>
      </w:r>
      <w:r w:rsidRPr="00210C77">
        <w:rPr>
          <w:rFonts w:ascii="Times New Roman CYR" w:eastAsiaTheme="minorEastAsia" w:hAnsi="Times New Roman CYR" w:cs="Times New Roman CYR"/>
        </w:rPr>
        <w:t>-</w:t>
      </w:r>
      <w:r>
        <w:rPr>
          <w:rFonts w:ascii="Times New Roman CYR" w:eastAsiaTheme="minorEastAsia" w:hAnsi="Times New Roman CYR" w:cs="Times New Roman CYR"/>
        </w:rPr>
        <w:t xml:space="preserve"> физическое лицо, вступившее в трудовые отношения с Организацией;</w:t>
      </w:r>
    </w:p>
    <w:p w:rsidR="00210C77" w:rsidRDefault="00210C77" w:rsidP="00073079">
      <w:pPr>
        <w:ind w:left="-567" w:firstLine="720"/>
        <w:jc w:val="both"/>
        <w:rPr>
          <w:rFonts w:ascii="Times New Roman CYR" w:eastAsiaTheme="minorEastAsia" w:hAnsi="Times New Roman CYR" w:cs="Times New Roman CYR"/>
          <w:bCs/>
        </w:rPr>
      </w:pPr>
      <w:r>
        <w:rPr>
          <w:rFonts w:ascii="Times New Roman CYR" w:eastAsiaTheme="minorEastAsia" w:hAnsi="Times New Roman CYR" w:cs="Times New Roman CYR"/>
          <w:b/>
          <w:bCs/>
        </w:rPr>
        <w:t xml:space="preserve">Контрагент </w:t>
      </w:r>
      <w:r w:rsidRPr="00210C77">
        <w:rPr>
          <w:rFonts w:ascii="Times New Roman CYR" w:eastAsiaTheme="minorEastAsia" w:hAnsi="Times New Roman CYR" w:cs="Times New Roman CYR"/>
          <w:bCs/>
        </w:rPr>
        <w:t>Организации</w:t>
      </w:r>
      <w:r>
        <w:rPr>
          <w:rFonts w:ascii="Times New Roman CYR" w:eastAsiaTheme="minorEastAsia" w:hAnsi="Times New Roman CYR" w:cs="Times New Roman CYR"/>
          <w:b/>
          <w:bCs/>
        </w:rPr>
        <w:t xml:space="preserve"> - </w:t>
      </w:r>
      <w:r w:rsidR="00503EA8">
        <w:rPr>
          <w:rFonts w:ascii="Times New Roman CYR" w:eastAsiaTheme="minorEastAsia" w:hAnsi="Times New Roman CYR" w:cs="Times New Roman CYR"/>
          <w:bCs/>
        </w:rPr>
        <w:t>любое российское или иностранное юридическое или физическое лицо, с которым организация вступает в договорные отношения, за искл</w:t>
      </w:r>
      <w:r w:rsidR="006142E3">
        <w:rPr>
          <w:rFonts w:ascii="Times New Roman CYR" w:eastAsiaTheme="minorEastAsia" w:hAnsi="Times New Roman CYR" w:cs="Times New Roman CYR"/>
          <w:bCs/>
        </w:rPr>
        <w:t>ючением трудовых отношений;</w:t>
      </w:r>
    </w:p>
    <w:p w:rsidR="006142E3" w:rsidRDefault="006142E3" w:rsidP="006142E3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  <w:b/>
          <w:bCs/>
        </w:rPr>
        <w:t>Конфликт интересов</w:t>
      </w:r>
      <w:r w:rsidRPr="00073079">
        <w:rPr>
          <w:rFonts w:ascii="Times New Roman CYR" w:eastAsiaTheme="minorEastAsia" w:hAnsi="Times New Roman CYR" w:cs="Times New Roman CYR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rFonts w:ascii="Times New Roman CYR" w:eastAsiaTheme="minorEastAsia" w:hAnsi="Times New Roman CYR" w:cs="Times New Roman CYR"/>
        </w:rPr>
        <w:t>стей (осуществление полномочий);</w:t>
      </w:r>
    </w:p>
    <w:p w:rsid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  <w:b/>
          <w:bCs/>
        </w:rPr>
        <w:t xml:space="preserve">Личная заинтересованность работника </w:t>
      </w:r>
      <w:r w:rsidRPr="00073079">
        <w:rPr>
          <w:rFonts w:ascii="Times New Roman CYR" w:eastAsiaTheme="minorEastAsia" w:hAnsi="Times New Roman CYR" w:cs="Times New Roman CYR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073079">
        <w:rPr>
          <w:rFonts w:ascii="Times New Roman CYR" w:eastAsiaTheme="minorEastAsia" w:hAnsi="Times New Roman CYR" w:cs="Times New Roman CYR"/>
        </w:rPr>
        <w:t>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</w:t>
      </w:r>
      <w:r w:rsidR="006142E3">
        <w:rPr>
          <w:rFonts w:ascii="Times New Roman CYR" w:eastAsiaTheme="minorEastAsia" w:hAnsi="Times New Roman CYR" w:cs="Times New Roman CYR"/>
        </w:rPr>
        <w:t xml:space="preserve"> или иными близкими отношениями;</w:t>
      </w:r>
    </w:p>
    <w:p w:rsidR="006142E3" w:rsidRPr="00073079" w:rsidRDefault="006142E3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>
        <w:rPr>
          <w:rFonts w:ascii="Times New Roman CYR" w:eastAsiaTheme="minorEastAsia" w:hAnsi="Times New Roman CYR" w:cs="Times New Roman CYR"/>
          <w:b/>
          <w:bCs/>
        </w:rPr>
        <w:t xml:space="preserve">Конфликт интересов при осуществлении медицинской деятельности </w:t>
      </w:r>
      <w:r w:rsidRPr="006142E3">
        <w:rPr>
          <w:rFonts w:ascii="Times New Roman CYR" w:eastAsiaTheme="minorEastAsia" w:hAnsi="Times New Roman CYR" w:cs="Times New Roman CYR"/>
        </w:rPr>
        <w:t>-</w:t>
      </w:r>
      <w:r>
        <w:rPr>
          <w:rFonts w:ascii="Times New Roman CYR" w:eastAsiaTheme="minorEastAsia" w:hAnsi="Times New Roman CYR" w:cs="Times New Roman CYR"/>
        </w:rPr>
        <w:t xml:space="preserve"> ситуация, при </w:t>
      </w:r>
      <w:r>
        <w:rPr>
          <w:rFonts w:ascii="Times New Roman CYR" w:eastAsiaTheme="minorEastAsia" w:hAnsi="Times New Roman CYR" w:cs="Times New Roman CYR"/>
        </w:rPr>
        <w:lastRenderedPageBreak/>
        <w:t>которой у медицинского работника при осуществлении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профессиональных обязанностей, а также иных обязанностей вследствие противоречия между личной заинтересованностью и интересами пациентов.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3" w:name="sub_3"/>
      <w:r w:rsidRPr="00073079">
        <w:rPr>
          <w:rFonts w:ascii="Times New Roman CYR" w:eastAsiaTheme="minorEastAsia" w:hAnsi="Times New Roman CYR" w:cs="Times New Roman CYR"/>
          <w:b/>
          <w:bCs/>
        </w:rPr>
        <w:t xml:space="preserve">3. </w:t>
      </w:r>
      <w:proofErr w:type="gramStart"/>
      <w:r w:rsidRPr="00073079">
        <w:rPr>
          <w:rFonts w:ascii="Times New Roman CYR" w:eastAsiaTheme="minorEastAsia" w:hAnsi="Times New Roman CYR" w:cs="Times New Roman CYR"/>
          <w:b/>
          <w:bCs/>
        </w:rPr>
        <w:t>Основные принципы</w:t>
      </w:r>
      <w:proofErr w:type="gramEnd"/>
      <w:r w:rsidRPr="00073079">
        <w:rPr>
          <w:rFonts w:ascii="Times New Roman CYR" w:eastAsiaTheme="minorEastAsia" w:hAnsi="Times New Roman CYR" w:cs="Times New Roman CYR"/>
          <w:b/>
          <w:bCs/>
        </w:rPr>
        <w:t xml:space="preserve"> антикоррупционной деятельности организации</w:t>
      </w:r>
    </w:p>
    <w:bookmarkEnd w:id="3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3.1. В соответствии со </w:t>
      </w:r>
      <w:hyperlink r:id="rId13" w:history="1">
        <w:r w:rsidRPr="00073079">
          <w:rPr>
            <w:rFonts w:ascii="Times New Roman CYR" w:eastAsiaTheme="minorEastAsia" w:hAnsi="Times New Roman CYR" w:cs="Times New Roman CYR"/>
          </w:rPr>
          <w:t>ст. 3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Федерального закона от 25 декабря 2008 г. N 273-ФЗ "О противодействии коррупции" противодействие коррупции в Российской Федерации основывается на следующих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основных принципах</w:t>
      </w:r>
      <w:proofErr w:type="gramEnd"/>
      <w:r w:rsidRPr="00073079">
        <w:rPr>
          <w:rFonts w:ascii="Times New Roman CYR" w:eastAsiaTheme="minorEastAsia" w:hAnsi="Times New Roman CYR" w:cs="Times New Roman CYR"/>
        </w:rPr>
        <w:t>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1) признание, обеспечение и защита основных прав и свобод человека и гражданина;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2) законность;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3) публичность и открытость деятельности государственных органов и органов местного самоуправления;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4) неотвратимость ответственности за совершение коррупционных правонарушений;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6) приоритетное применение мер по предупреждению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3.2. Система мер противодействия коррупции в Организации основывается на следующих принципах: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 xml:space="preserve">а) Принцип соответствия Антикоррупционной политики Организации действующему законодательству и общепринятым нормам: соответствие реализуемых антикоррупционных мероприятий </w:t>
      </w:r>
      <w:hyperlink r:id="rId14" w:history="1">
        <w:r w:rsidRPr="00073079">
          <w:rPr>
            <w:rFonts w:ascii="Times New Roman CYR" w:eastAsiaTheme="minorEastAsia" w:hAnsi="Times New Roman CYR" w:cs="Times New Roman CYR"/>
          </w:rPr>
          <w:t>Конституции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РФ, заключенным Российской Федерацией международным договорам, </w:t>
      </w:r>
      <w:hyperlink r:id="rId15" w:history="1">
        <w:r w:rsidRPr="00073079">
          <w:rPr>
            <w:rFonts w:ascii="Times New Roman CYR" w:eastAsiaTheme="minorEastAsia" w:hAnsi="Times New Roman CYR" w:cs="Times New Roman CYR"/>
          </w:rPr>
          <w:t>Федеральному закону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от 25 декабря 2008 г. N 273-ФЗ "О противодействии коррупции" и иным нормативным правовым актам, применяемым к Организации.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в) Принцип вовлеченности работников: активное участие работников Организации независимо от должности в формировании и реализации антикоррупционных стандартов и процедур.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г) Принцип нулевой толерантности: неприятие в Организации коррупции в любых формах и проявлениях.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з) Принцип открытости: 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</w:t>
      </w:r>
      <w:r w:rsidRPr="00073079">
        <w:rPr>
          <w:rFonts w:ascii="Times New Roman CYR" w:eastAsiaTheme="minorEastAsia" w:hAnsi="Times New Roman CYR" w:cs="Times New Roman CYR"/>
        </w:rPr>
        <w:lastRenderedPageBreak/>
        <w:t xml:space="preserve">процедур, а также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контроля за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их исполнением.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внутриорганизационной антикоррупционной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политики.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4" w:name="sub_4"/>
      <w:r w:rsidRPr="00073079">
        <w:rPr>
          <w:rFonts w:ascii="Times New Roman CYR" w:eastAsiaTheme="minorEastAsia" w:hAnsi="Times New Roman CYR" w:cs="Times New Roman CYR"/>
          <w:b/>
          <w:bCs/>
        </w:rPr>
        <w:t>4. Область применения политики и круг лиц, попадающих под ее действие</w:t>
      </w:r>
    </w:p>
    <w:bookmarkEnd w:id="4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4.1.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4.2. Положения настоящей Антикоррупционной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5" w:name="sub_5"/>
      <w:r w:rsidRPr="00073079">
        <w:rPr>
          <w:rFonts w:ascii="Times New Roman CYR" w:eastAsiaTheme="minorEastAsia" w:hAnsi="Times New Roman CYR" w:cs="Times New Roman CYR"/>
          <w:b/>
          <w:bCs/>
        </w:rPr>
        <w:t>5. Должностные лица организации, ответственные за реализацию антикоррупционной политики</w:t>
      </w:r>
    </w:p>
    <w:bookmarkEnd w:id="5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5.1. </w:t>
      </w:r>
      <w:r w:rsidR="003464D5">
        <w:rPr>
          <w:rFonts w:ascii="Times New Roman CYR" w:eastAsiaTheme="minorEastAsia" w:hAnsi="Times New Roman CYR" w:cs="Times New Roman CYR"/>
        </w:rPr>
        <w:t>Главный врач</w:t>
      </w:r>
      <w:r w:rsidRPr="00073079">
        <w:rPr>
          <w:rFonts w:ascii="Times New Roman CYR" w:eastAsiaTheme="minorEastAsia" w:hAnsi="Times New Roman CYR" w:cs="Times New Roman CYR"/>
        </w:rPr>
        <w:t xml:space="preserve"> является ответственным за организацию всех мероприятий, направленных на противодействие коррупции в Организации.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5.2. </w:t>
      </w:r>
      <w:r w:rsidR="003464D5">
        <w:rPr>
          <w:rFonts w:ascii="Times New Roman CYR" w:eastAsiaTheme="minorEastAsia" w:hAnsi="Times New Roman CYR" w:cs="Times New Roman CYR"/>
        </w:rPr>
        <w:t>Главный врач</w:t>
      </w:r>
      <w:r w:rsidRPr="00073079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исходя из установленных задач, специфики деятельности, штатной численности, организационной структуры Организации назначает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лицо или несколько лиц, ответственных за реализацию Антикоррупционной политики.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5.3. Основные обязанности лиц, ответственных за реализацию Антикоррупционной политики: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подготовка рекомендаций для принятия решений по вопросам противодействия коррупции в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разработка и представление на утверждение </w:t>
      </w:r>
      <w:r w:rsidR="003464D5">
        <w:rPr>
          <w:rFonts w:ascii="Times New Roman CYR" w:eastAsiaTheme="minorEastAsia" w:hAnsi="Times New Roman CYR" w:cs="Times New Roman CYR"/>
        </w:rPr>
        <w:t>главному врачу</w:t>
      </w:r>
      <w:r w:rsidRPr="00073079">
        <w:rPr>
          <w:rFonts w:ascii="Times New Roman CYR" w:eastAsiaTheme="minorEastAsia" w:hAnsi="Times New Roman CYR" w:cs="Times New Roman CYR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организация проведения оценки коррупционных рисков;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организация работы по заполнению и рассмотрению деклараций о конфликте интересов;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организация мероприятий по вопросам профилактики и противодействия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индивидуальное консультирование работников;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участие в организации антикоррупционной пропаганды;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lastRenderedPageBreak/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3464D5">
        <w:rPr>
          <w:rFonts w:ascii="Times New Roman CYR" w:eastAsiaTheme="minorEastAsia" w:hAnsi="Times New Roman CYR" w:cs="Times New Roman CYR"/>
        </w:rPr>
        <w:t>главного врача.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6" w:name="sub_6"/>
      <w:r w:rsidRPr="00073079">
        <w:rPr>
          <w:rFonts w:ascii="Times New Roman CYR" w:eastAsiaTheme="minorEastAsia" w:hAnsi="Times New Roman CYR" w:cs="Times New Roman CYR"/>
          <w:b/>
          <w:bCs/>
        </w:rPr>
        <w:t>6. Обязанности работников и организации, связанные с предупреждением и противодействием коррупции</w:t>
      </w:r>
    </w:p>
    <w:bookmarkEnd w:id="6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6.1. Все работники вне зависимости от должности и стажа работы в Организации в связи с исполнением своих должностных обязанностей должны: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руководствоваться положениями настоящей Политики и неукоснительно соблюдать ее принципы и требования;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  <w:proofErr w:type="gramEnd"/>
    </w:p>
    <w:p w:rsidR="00073079" w:rsidRPr="00073079" w:rsidRDefault="00073079" w:rsidP="003464D5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сообщить </w:t>
      </w:r>
      <w:r w:rsidR="00B0239F">
        <w:rPr>
          <w:rFonts w:ascii="Times New Roman CYR" w:eastAsiaTheme="minorEastAsia" w:hAnsi="Times New Roman CYR" w:cs="Times New Roman CYR"/>
        </w:rPr>
        <w:t>главному врачу Организации и своему непосредственному руководителю о возникшем конфликте интересов либо о возможности его возникновения.</w:t>
      </w:r>
    </w:p>
    <w:p w:rsidR="003464D5" w:rsidRPr="003464D5" w:rsidRDefault="00073079" w:rsidP="003464D5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7" w:name="sub_7"/>
      <w:r w:rsidRPr="00073079">
        <w:rPr>
          <w:rFonts w:ascii="Times New Roman CYR" w:eastAsiaTheme="minorEastAsia" w:hAnsi="Times New Roman CYR" w:cs="Times New Roman CYR"/>
          <w:b/>
          <w:bCs/>
        </w:rPr>
        <w:t>7. Реализуемые организацией антикоррупционные мероприятия</w:t>
      </w:r>
      <w:bookmarkEnd w:id="7"/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6499"/>
      </w:tblGrid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-567" w:firstLine="720"/>
              <w:jc w:val="both"/>
              <w:rPr>
                <w:rFonts w:ascii="Times New Roman CYR" w:eastAsiaTheme="minorEastAsia" w:hAnsi="Times New Roman CYR" w:cs="Times New Roman CYR"/>
                <w:b/>
              </w:rPr>
            </w:pPr>
            <w:r w:rsidRPr="003464D5">
              <w:rPr>
                <w:rFonts w:ascii="Times New Roman CYR" w:eastAsiaTheme="minorEastAsia" w:hAnsi="Times New Roman CYR" w:cs="Times New Roman CYR"/>
                <w:b/>
              </w:rPr>
              <w:t>Направление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-567" w:firstLine="720"/>
              <w:jc w:val="both"/>
              <w:rPr>
                <w:rFonts w:ascii="Times New Roman CYR" w:eastAsiaTheme="minorEastAsia" w:hAnsi="Times New Roman CYR" w:cs="Times New Roman CYR"/>
                <w:b/>
              </w:rPr>
            </w:pPr>
            <w:r w:rsidRPr="003464D5">
              <w:rPr>
                <w:rFonts w:ascii="Times New Roman CYR" w:eastAsiaTheme="minorEastAsia" w:hAnsi="Times New Roman CYR" w:cs="Times New Roman CYR"/>
                <w:b/>
              </w:rPr>
              <w:t>Мероприятие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Разработка и внедрение положения о конфликте интересов, декларации о конфликте интересов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Присоединение к Антикоррупционной хартии российского бизнеса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Введение антикоррупционных положений в трудовые договора работников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 xml:space="preserve">Разработка и введение </w:t>
            </w:r>
            <w:proofErr w:type="gramStart"/>
            <w:r w:rsidRPr="003464D5">
              <w:rPr>
                <w:rFonts w:ascii="Times New Roman CYR" w:eastAsiaTheme="minorEastAsia" w:hAnsi="Times New Roman CYR" w:cs="Times New Roman CYR"/>
              </w:rPr>
              <w:t>специальных антикоррупционных</w:t>
            </w:r>
            <w:proofErr w:type="gramEnd"/>
            <w:r w:rsidRPr="003464D5">
              <w:rPr>
                <w:rFonts w:ascii="Times New Roman CYR" w:eastAsiaTheme="minorEastAsia" w:hAnsi="Times New Roman CYR" w:cs="Times New Roman CYR"/>
              </w:rPr>
              <w:t xml:space="preserve"> процедур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464D5">
              <w:rPr>
                <w:rFonts w:ascii="Times New Roman CYR" w:eastAsiaTheme="minorEastAsia" w:hAnsi="Times New Roman CYR" w:cs="Times New Roman CYR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464D5">
              <w:rPr>
                <w:rFonts w:ascii="Times New Roman CYR" w:eastAsiaTheme="minorEastAsia" w:hAnsi="Times New Roman CYR" w:cs="Times New Roman CYR"/>
              </w:rPr>
              <w:t xml:space="preserve">Введение процедуры информирования работодателя о ставшей известной работнику информации о случаях </w:t>
            </w:r>
            <w:r w:rsidRPr="003464D5">
              <w:rPr>
                <w:rFonts w:ascii="Times New Roman CYR" w:eastAsiaTheme="minorEastAsia" w:hAnsi="Times New Roman CYR" w:cs="Times New Roman CYR"/>
              </w:rPr>
              <w:lastRenderedPageBreak/>
              <w:t>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lastRenderedPageBreak/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464D5">
              <w:rPr>
                <w:rFonts w:ascii="Times New Roman CYR" w:eastAsiaTheme="minorEastAsia" w:hAnsi="Times New Roman CYR" w:cs="Times New Roman CYR"/>
              </w:rPr>
              <w:t>Введение процедуры информирования работниками работодателя о наличии личной заинтересованности в письменной форме и передачи в доверительное управление ценных бумаг либо принятия добровольного решения об их отчуждении в случае, если выполнение трудовых функций работников затрагивает интересы организации, ценными бумагами которой они владеют</w:t>
            </w:r>
            <w:proofErr w:type="gramEnd"/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Ежегодное заполнение декларации о конфликте интересов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Обучение и информирование работников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Осуществление регулярного контроля соблюдения внутренних процедур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Привлечение экспертов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Периодическое проведение внешнего аудита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 xml:space="preserve">Привлечение </w:t>
            </w:r>
            <w:proofErr w:type="gramStart"/>
            <w:r w:rsidRPr="003464D5">
              <w:rPr>
                <w:rFonts w:ascii="Times New Roman CYR" w:eastAsiaTheme="minorEastAsia" w:hAnsi="Times New Roman CYR" w:cs="Times New Roman CYR"/>
              </w:rPr>
              <w:t>внешних независимых</w:t>
            </w:r>
            <w:proofErr w:type="gramEnd"/>
            <w:r w:rsidRPr="003464D5">
              <w:rPr>
                <w:rFonts w:ascii="Times New Roman CYR" w:eastAsiaTheme="minorEastAsia" w:hAnsi="Times New Roman CYR" w:cs="Times New Roman CYR"/>
              </w:rPr>
              <w:t xml:space="preserve"> экспертов при </w:t>
            </w:r>
            <w:r w:rsidRPr="003464D5">
              <w:rPr>
                <w:rFonts w:ascii="Times New Roman CYR" w:eastAsiaTheme="minorEastAsia" w:hAnsi="Times New Roman CYR" w:cs="Times New Roman CYR"/>
              </w:rPr>
              <w:lastRenderedPageBreak/>
              <w:t>осуществлении хозяйственной деятельности организации и организации антикоррупционных мер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right="11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464D5" w:rsidRPr="003464D5" w:rsidTr="003464D5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-567"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 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54A5" w:rsidRPr="003464D5" w:rsidRDefault="003464D5" w:rsidP="003464D5">
            <w:pPr>
              <w:ind w:left="1" w:right="90" w:firstLine="141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64D5">
              <w:rPr>
                <w:rFonts w:ascii="Times New Roman CYR" w:eastAsiaTheme="minorEastAsia" w:hAnsi="Times New Roman CYR" w:cs="Times New Roman CYR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73079" w:rsidRPr="00073079" w:rsidRDefault="003464D5" w:rsidP="003464D5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3464D5">
        <w:rPr>
          <w:rFonts w:ascii="Times New Roman CYR" w:eastAsiaTheme="minorEastAsia" w:hAnsi="Times New Roman CYR" w:cs="Times New Roman CYR"/>
        </w:rPr>
        <w:t> </w:t>
      </w: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8" w:name="sub_8"/>
      <w:r w:rsidRPr="00073079">
        <w:rPr>
          <w:rFonts w:ascii="Times New Roman CYR" w:eastAsiaTheme="minorEastAsia" w:hAnsi="Times New Roman CYR" w:cs="Times New Roman CYR"/>
          <w:b/>
          <w:bCs/>
        </w:rPr>
        <w:t xml:space="preserve">8. Внедрение </w:t>
      </w:r>
      <w:proofErr w:type="gramStart"/>
      <w:r w:rsidRPr="00073079">
        <w:rPr>
          <w:rFonts w:ascii="Times New Roman CYR" w:eastAsiaTheme="minorEastAsia" w:hAnsi="Times New Roman CYR" w:cs="Times New Roman CYR"/>
          <w:b/>
          <w:bCs/>
        </w:rPr>
        <w:t>стандартов поведения работников организации</w:t>
      </w:r>
      <w:proofErr w:type="gramEnd"/>
    </w:p>
    <w:bookmarkEnd w:id="8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8.1. В целях внедрения антикоррупционных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Такие общие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правила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и принципы поведения закрепляются в Кодексе этики и служебного поведения работников организации, утвержденном </w:t>
      </w:r>
      <w:r w:rsidR="003464D5">
        <w:rPr>
          <w:rFonts w:ascii="Times New Roman CYR" w:eastAsiaTheme="minorEastAsia" w:hAnsi="Times New Roman CYR" w:cs="Times New Roman CYR"/>
        </w:rPr>
        <w:t>главным врачом</w:t>
      </w:r>
      <w:r w:rsidRPr="00073079">
        <w:rPr>
          <w:rFonts w:ascii="Times New Roman CYR" w:eastAsiaTheme="minorEastAsia" w:hAnsi="Times New Roman CYR" w:cs="Times New Roman CYR"/>
        </w:rPr>
        <w:t xml:space="preserve"> Организации.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9" w:name="sub_9"/>
      <w:r w:rsidRPr="00073079">
        <w:rPr>
          <w:rFonts w:ascii="Times New Roman CYR" w:eastAsiaTheme="minorEastAsia" w:hAnsi="Times New Roman CYR" w:cs="Times New Roman CYR"/>
          <w:b/>
          <w:bCs/>
        </w:rPr>
        <w:t>9. Выявление и урегулирование конфликта интересов</w:t>
      </w:r>
    </w:p>
    <w:bookmarkEnd w:id="9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0" w:name="sub_10"/>
      <w:r w:rsidRPr="00073079">
        <w:rPr>
          <w:rFonts w:ascii="Times New Roman CYR" w:eastAsiaTheme="minorEastAsia" w:hAnsi="Times New Roman CYR" w:cs="Times New Roman CYR"/>
          <w:b/>
          <w:bCs/>
        </w:rPr>
        <w:t xml:space="preserve">10. Правила </w:t>
      </w:r>
      <w:r w:rsidR="00B04F6B">
        <w:rPr>
          <w:rFonts w:ascii="Times New Roman CYR" w:eastAsiaTheme="minorEastAsia" w:hAnsi="Times New Roman CYR" w:cs="Times New Roman CYR"/>
          <w:b/>
          <w:bCs/>
        </w:rPr>
        <w:t>дарения и получения подарков</w:t>
      </w:r>
    </w:p>
    <w:bookmarkEnd w:id="10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B04F6B" w:rsidRPr="00B04F6B" w:rsidRDefault="00073079" w:rsidP="00B04F6B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10.1.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 xml:space="preserve">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 </w:t>
      </w:r>
      <w:hyperlink r:id="rId16" w:history="1">
        <w:r w:rsidRPr="00073079">
          <w:rPr>
            <w:rFonts w:ascii="Times New Roman CYR" w:eastAsiaTheme="minorEastAsia" w:hAnsi="Times New Roman CYR" w:cs="Times New Roman CYR"/>
          </w:rPr>
          <w:t>антикоррупционного законодательства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РФ, в Организации </w:t>
      </w:r>
      <w:r w:rsidR="00B04F6B">
        <w:rPr>
          <w:rFonts w:ascii="Times New Roman CYR" w:eastAsiaTheme="minorEastAsia" w:hAnsi="Times New Roman CYR" w:cs="Times New Roman CYR"/>
        </w:rPr>
        <w:t>устанавливается з</w:t>
      </w:r>
      <w:r w:rsidR="00B04F6B" w:rsidRPr="00B04F6B">
        <w:rPr>
          <w:rFonts w:ascii="Times New Roman CYR" w:eastAsiaTheme="minorEastAsia" w:hAnsi="Times New Roman CYR" w:cs="Times New Roman CYR"/>
        </w:rPr>
        <w:t>апрет</w:t>
      </w:r>
      <w:r w:rsidR="00B04F6B">
        <w:rPr>
          <w:rFonts w:ascii="Times New Roman CYR" w:eastAsiaTheme="minorEastAsia" w:hAnsi="Times New Roman CYR" w:cs="Times New Roman CYR"/>
        </w:rPr>
        <w:t xml:space="preserve"> на</w:t>
      </w:r>
      <w:r w:rsidR="00B04F6B" w:rsidRPr="00B04F6B">
        <w:rPr>
          <w:rFonts w:ascii="Times New Roman CYR" w:eastAsiaTheme="minorEastAsia" w:hAnsi="Times New Roman CYR" w:cs="Times New Roman CYR"/>
        </w:rPr>
        <w:t xml:space="preserve"> </w:t>
      </w:r>
      <w:r w:rsidR="00B0239F">
        <w:rPr>
          <w:rFonts w:ascii="Times New Roman CYR" w:eastAsiaTheme="minorEastAsia" w:hAnsi="Times New Roman CYR" w:cs="Times New Roman CYR"/>
        </w:rPr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proofErr w:type="gramEnd"/>
    </w:p>
    <w:p w:rsidR="00073079" w:rsidRPr="00073079" w:rsidRDefault="00B04F6B" w:rsidP="00B04F6B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B04F6B">
        <w:rPr>
          <w:rFonts w:ascii="Times New Roman CYR" w:eastAsiaTheme="minorEastAsia" w:hAnsi="Times New Roman CYR" w:cs="Times New Roman CYR"/>
        </w:rPr>
        <w:t>2.</w:t>
      </w:r>
      <w:r w:rsidRPr="00B04F6B">
        <w:rPr>
          <w:rFonts w:ascii="Times New Roman CYR" w:eastAsiaTheme="minorEastAsia" w:hAnsi="Times New Roman CYR" w:cs="Times New Roman CYR"/>
        </w:rPr>
        <w:tab/>
      </w:r>
      <w:r>
        <w:rPr>
          <w:rFonts w:ascii="Times New Roman CYR" w:eastAsiaTheme="minorEastAsia" w:hAnsi="Times New Roman CYR" w:cs="Times New Roman CYR"/>
        </w:rPr>
        <w:t>З</w:t>
      </w:r>
      <w:r w:rsidRPr="00B04F6B">
        <w:rPr>
          <w:rFonts w:ascii="Times New Roman CYR" w:eastAsiaTheme="minorEastAsia" w:hAnsi="Times New Roman CYR" w:cs="Times New Roman CYR"/>
        </w:rPr>
        <w:t xml:space="preserve">а нарушение запрета на дарение и получение </w:t>
      </w:r>
      <w:r w:rsidR="00B0239F">
        <w:rPr>
          <w:rFonts w:ascii="Times New Roman CYR" w:eastAsiaTheme="minorEastAsia" w:hAnsi="Times New Roman CYR" w:cs="Times New Roman CYR"/>
        </w:rPr>
        <w:t>на</w:t>
      </w:r>
      <w:r w:rsidR="00B0239F" w:rsidRPr="00B04F6B">
        <w:rPr>
          <w:rFonts w:ascii="Times New Roman CYR" w:eastAsiaTheme="minorEastAsia" w:hAnsi="Times New Roman CYR" w:cs="Times New Roman CYR"/>
        </w:rPr>
        <w:t xml:space="preserve"> </w:t>
      </w:r>
      <w:r w:rsidR="00B0239F">
        <w:rPr>
          <w:rFonts w:ascii="Times New Roman CYR" w:eastAsiaTheme="minorEastAsia" w:hAnsi="Times New Roman CYR" w:cs="Times New Roman CYR"/>
        </w:rPr>
        <w:t>вознаграждения от физических и юридических лиц</w:t>
      </w:r>
      <w:r w:rsidR="00B0239F">
        <w:rPr>
          <w:rFonts w:ascii="Times New Roman CYR" w:eastAsiaTheme="minorEastAsia" w:hAnsi="Times New Roman CYR" w:cs="Times New Roman CYR"/>
        </w:rPr>
        <w:t xml:space="preserve"> </w:t>
      </w:r>
      <w:r w:rsidR="00B0239F">
        <w:rPr>
          <w:rFonts w:ascii="Times New Roman CYR" w:eastAsiaTheme="minorEastAsia" w:hAnsi="Times New Roman CYR" w:cs="Times New Roman CYR"/>
        </w:rPr>
        <w:t>(подарки, денежное вознаграждение, ссуды, услуги, оплату развлечений, отдыха, транспортных расходов и иные вознаграждения)</w:t>
      </w:r>
      <w:r w:rsidRPr="00B04F6B">
        <w:rPr>
          <w:rFonts w:ascii="Times New Roman CYR" w:eastAsiaTheme="minorEastAsia" w:hAnsi="Times New Roman CYR" w:cs="Times New Roman CYR"/>
        </w:rPr>
        <w:t xml:space="preserve"> в связи с вы</w:t>
      </w:r>
      <w:r>
        <w:rPr>
          <w:rFonts w:ascii="Times New Roman CYR" w:eastAsiaTheme="minorEastAsia" w:hAnsi="Times New Roman CYR" w:cs="Times New Roman CYR"/>
        </w:rPr>
        <w:t>полнением трудовых обязанностей каждый работник несет персональную ответственность.</w:t>
      </w: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1" w:name="sub_11"/>
      <w:r w:rsidRPr="00073079">
        <w:rPr>
          <w:rFonts w:ascii="Times New Roman CYR" w:eastAsiaTheme="minorEastAsia" w:hAnsi="Times New Roman CYR" w:cs="Times New Roman CYR"/>
          <w:b/>
          <w:bCs/>
        </w:rPr>
        <w:t>11. Оценка коррупционных рисков</w:t>
      </w:r>
    </w:p>
    <w:bookmarkEnd w:id="11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правонарушений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как в целях получения личной выгоды, так и в целях получения выгоды Организацией.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</w:t>
      </w:r>
      <w:r w:rsidRPr="00073079">
        <w:rPr>
          <w:rFonts w:ascii="Times New Roman CYR" w:eastAsiaTheme="minorEastAsia" w:hAnsi="Times New Roman CYR" w:cs="Times New Roman CYR"/>
        </w:rPr>
        <w:lastRenderedPageBreak/>
        <w:t>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11.3. Оценка коррупционных рисков проводится в Организации на регулярной основе.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11.4. Порядок проведения оценки коррупционных рисков: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представить деятельность Организации в виде отдельных бизнес-процессов, в каждом из которых выделить составные элементы (</w:t>
      </w:r>
      <w:proofErr w:type="spellStart"/>
      <w:r w:rsidRPr="00073079">
        <w:rPr>
          <w:rFonts w:ascii="Times New Roman CYR" w:eastAsiaTheme="minorEastAsia" w:hAnsi="Times New Roman CYR" w:cs="Times New Roman CYR"/>
        </w:rPr>
        <w:t>подпроцессы</w:t>
      </w:r>
      <w:proofErr w:type="spellEnd"/>
      <w:r w:rsidRPr="00073079">
        <w:rPr>
          <w:rFonts w:ascii="Times New Roman CYR" w:eastAsiaTheme="minorEastAsia" w:hAnsi="Times New Roman CYR" w:cs="Times New Roman CYR"/>
        </w:rPr>
        <w:t>);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выделить "критические точки" - для каждого бизнес-процесса определить те элементы (</w:t>
      </w:r>
      <w:proofErr w:type="spellStart"/>
      <w:r w:rsidRPr="00073079">
        <w:rPr>
          <w:rFonts w:ascii="Times New Roman CYR" w:eastAsiaTheme="minorEastAsia" w:hAnsi="Times New Roman CYR" w:cs="Times New Roman CYR"/>
        </w:rPr>
        <w:t>подпроцессы</w:t>
      </w:r>
      <w:proofErr w:type="spellEnd"/>
      <w:r w:rsidRPr="00073079">
        <w:rPr>
          <w:rFonts w:ascii="Times New Roman CYR" w:eastAsiaTheme="minorEastAsia" w:hAnsi="Times New Roman CYR" w:cs="Times New Roman CYR"/>
        </w:rPr>
        <w:t>), при реализации которых наиболее вероятно возникновение коррупционных правонарушений.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Для каждого </w:t>
      </w:r>
      <w:proofErr w:type="spellStart"/>
      <w:r w:rsidRPr="00073079">
        <w:rPr>
          <w:rFonts w:ascii="Times New Roman CYR" w:eastAsiaTheme="minorEastAsia" w:hAnsi="Times New Roman CYR" w:cs="Times New Roman CYR"/>
        </w:rPr>
        <w:t>подпроцесса</w:t>
      </w:r>
      <w:proofErr w:type="spellEnd"/>
      <w:r w:rsidRPr="00073079">
        <w:rPr>
          <w:rFonts w:ascii="Times New Roman CYR" w:eastAsiaTheme="minorEastAsia" w:hAnsi="Times New Roman CYR" w:cs="Times New Roman CYR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характеристику выгоды или преимущества, которое может быть получено Организацией или ее отдельными работниками при совершении "коррупционного правонарушения";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должности в организации, которые являются "ключевыми" для совершения коррупционного правонарушения, - участие каких должностных лиц Организации необходимо, чтобы совершение коррупционного правонарушения стало возможным;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вероятные формы осуществления коррупционных платежей.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специальные антикоррупционные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процедуры и требования, например, регулярное заполнение декларации о конфликте интересов.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детальную регламентацию способа и сроков совершения действий работником в "критической точке";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реинжиниринг функций, в том числе их перераспределение между структурными подразделениями внутри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установление дополнительных форм отчетности работников о результатах принятых решений;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введение ограничений, затрудняющих осуществление коррупционных платежей и т.д.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2" w:name="sub_12"/>
      <w:r w:rsidRPr="00073079">
        <w:rPr>
          <w:rFonts w:ascii="Times New Roman CYR" w:eastAsiaTheme="minorEastAsia" w:hAnsi="Times New Roman CYR" w:cs="Times New Roman CYR"/>
          <w:b/>
          <w:bCs/>
        </w:rPr>
        <w:t>12. Консультирование и обучение работников организации</w:t>
      </w:r>
    </w:p>
    <w:bookmarkEnd w:id="12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12.1.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коррупция в государственном сектор</w:t>
      </w:r>
      <w:r w:rsidR="00B04F6B">
        <w:rPr>
          <w:rFonts w:ascii="Times New Roman CYR" w:eastAsiaTheme="minorEastAsia" w:hAnsi="Times New Roman CYR" w:cs="Times New Roman CYR"/>
        </w:rPr>
        <w:t>е</w:t>
      </w:r>
      <w:r w:rsidRPr="00073079">
        <w:rPr>
          <w:rFonts w:ascii="Times New Roman CYR" w:eastAsiaTheme="minorEastAsia" w:hAnsi="Times New Roman CYR" w:cs="Times New Roman CYR"/>
        </w:rPr>
        <w:t xml:space="preserve"> экономики (теоретическая);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юридическая ответственность за совершение коррупционных правонарушений;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выявление и разрешение конфликта интересов при вы</w:t>
      </w:r>
      <w:r w:rsidR="00B04F6B">
        <w:rPr>
          <w:rFonts w:ascii="Times New Roman CYR" w:eastAsiaTheme="minorEastAsia" w:hAnsi="Times New Roman CYR" w:cs="Times New Roman CYR"/>
        </w:rPr>
        <w:t>полнении трудовых обязанностей;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поведение в ситуациях коррупционного риска, в частности, в случаях вымогательства </w:t>
      </w:r>
      <w:r w:rsidRPr="00073079">
        <w:rPr>
          <w:rFonts w:ascii="Times New Roman CYR" w:eastAsiaTheme="minorEastAsia" w:hAnsi="Times New Roman CYR" w:cs="Times New Roman CYR"/>
        </w:rPr>
        <w:lastRenderedPageBreak/>
        <w:t>взятки со стороны должностных лиц государственных и муниципальных, иных организаций;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прикладная</w:t>
      </w:r>
      <w:proofErr w:type="gramEnd"/>
      <w:r w:rsidRPr="00073079">
        <w:rPr>
          <w:rFonts w:ascii="Times New Roman CYR" w:eastAsiaTheme="minorEastAsia" w:hAnsi="Times New Roman CYR" w:cs="Times New Roman CYR"/>
        </w:rPr>
        <w:t>).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обучаемых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: лица, ответственные за противодействие коррупции в организации; руководящие работники; иные работники организации. В случае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возникновения проблемы формирования учебных групп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12.4. В зависимости от времени проведения можно выделить следующие виды обучения: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обучение по вопросам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профилактики и противодействия коррупции непосредственно после приема на работу;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73079">
        <w:rPr>
          <w:rFonts w:ascii="Times New Roman CYR" w:eastAsiaTheme="minorEastAsia" w:hAnsi="Times New Roman CYR" w:cs="Times New Roman CYR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12.5. Консультирование по вопросам противодействия коррупции осуществляется в индивидуальном порядке. В этом случае в Организации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3" w:name="sub_13"/>
      <w:r w:rsidRPr="00073079">
        <w:rPr>
          <w:rFonts w:ascii="Times New Roman CYR" w:eastAsiaTheme="minorEastAsia" w:hAnsi="Times New Roman CYR" w:cs="Times New Roman CYR"/>
          <w:b/>
          <w:bCs/>
        </w:rPr>
        <w:t>13. Внутренний контроль и аудит</w:t>
      </w:r>
    </w:p>
    <w:bookmarkEnd w:id="13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13.1. </w:t>
      </w:r>
      <w:hyperlink r:id="rId17" w:history="1">
        <w:r w:rsidRPr="00073079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от 6 декабря 2011 г. N 402-ФЗ "О бухгалтерском учете" установлена обязанность для всех организаций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осуществлять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внутренний контроль хозяйственных операций.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13.2.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Антикоррупционной политики, реализуемой Организацией, в том числе: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контроль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документирования операций хозяйственной деятельности Организации</w:t>
      </w:r>
      <w:proofErr w:type="gramEnd"/>
      <w:r w:rsidRPr="00073079">
        <w:rPr>
          <w:rFonts w:ascii="Times New Roman CYR" w:eastAsiaTheme="minorEastAsia" w:hAnsi="Times New Roman CYR" w:cs="Times New Roman CYR"/>
        </w:rPr>
        <w:t>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проверка экономической обоснованности осуществляемых операций в сферах коррупционного риска.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13.3. Контроль документирования операций хозяйственной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деятельности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представительских расходов, благотворительных пожертвований, вознаграждений внешним консультантам и других сфер. </w:t>
      </w:r>
      <w:r w:rsidRPr="00073079">
        <w:rPr>
          <w:rFonts w:ascii="Times New Roman CYR" w:eastAsiaTheme="minorEastAsia" w:hAnsi="Times New Roman CYR" w:cs="Times New Roman CYR"/>
        </w:rPr>
        <w:lastRenderedPageBreak/>
        <w:t>При этом следует обращать внимание на наличие обстоятельств - индикаторов неправомерных действий, например: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оплата услуг, характер которых не определен либо вызывает сомнения;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предоставление дорогостоящих подарков, оплата транс</w:t>
      </w:r>
      <w:r w:rsidR="00B04F6B">
        <w:rPr>
          <w:rFonts w:ascii="Times New Roman CYR" w:eastAsiaTheme="minorEastAsia" w:hAnsi="Times New Roman CYR" w:cs="Times New Roman CYR"/>
        </w:rPr>
        <w:t>портных, развлекательных услуг</w:t>
      </w:r>
      <w:r w:rsidRPr="00073079">
        <w:rPr>
          <w:rFonts w:ascii="Times New Roman CYR" w:eastAsiaTheme="minorEastAsia" w:hAnsi="Times New Roman CYR" w:cs="Times New Roman CYR"/>
        </w:rPr>
        <w:t xml:space="preserve">, предоставление иных ценностей или благ внешним </w:t>
      </w:r>
      <w:r w:rsidR="00C75916">
        <w:rPr>
          <w:rFonts w:ascii="Times New Roman CYR" w:eastAsiaTheme="minorEastAsia" w:hAnsi="Times New Roman CYR" w:cs="Times New Roman CYR"/>
        </w:rPr>
        <w:t>лицам</w:t>
      </w:r>
      <w:r w:rsidRPr="00073079">
        <w:rPr>
          <w:rFonts w:ascii="Times New Roman CYR" w:eastAsiaTheme="minorEastAsia" w:hAnsi="Times New Roman CYR" w:cs="Times New Roman CYR"/>
        </w:rPr>
        <w:t>, государственным или муниципальным служащим, работникам аффилированных лиц и контрагентов;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выплата посреднику или внешнему </w:t>
      </w:r>
      <w:r w:rsidR="00C75916">
        <w:rPr>
          <w:rFonts w:ascii="Times New Roman CYR" w:eastAsiaTheme="minorEastAsia" w:hAnsi="Times New Roman CYR" w:cs="Times New Roman CYR"/>
        </w:rPr>
        <w:t xml:space="preserve">лицу </w:t>
      </w:r>
      <w:r w:rsidRPr="00073079">
        <w:rPr>
          <w:rFonts w:ascii="Times New Roman CYR" w:eastAsiaTheme="minorEastAsia" w:hAnsi="Times New Roman CYR" w:cs="Times New Roman CYR"/>
        </w:rPr>
        <w:t xml:space="preserve"> вознаграждения, размер которого превышает обычную плату для организации или плату для данного вида услуг;</w:t>
      </w:r>
    </w:p>
    <w:p w:rsidR="00073079" w:rsidRPr="00073079" w:rsidRDefault="00073079" w:rsidP="00C75916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- закупки или продажи по ценам, значительно отличающимся от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рыночных</w:t>
      </w:r>
      <w:proofErr w:type="gramEnd"/>
      <w:r w:rsidRPr="00073079">
        <w:rPr>
          <w:rFonts w:ascii="Times New Roman CYR" w:eastAsiaTheme="minorEastAsia" w:hAnsi="Times New Roman CYR" w:cs="Times New Roman CYR"/>
        </w:rPr>
        <w:t>;</w:t>
      </w:r>
    </w:p>
    <w:p w:rsidR="00073079" w:rsidRPr="00073079" w:rsidRDefault="00073079" w:rsidP="00C75916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сомнительные платежи наличными.</w:t>
      </w:r>
    </w:p>
    <w:p w:rsidR="00073079" w:rsidRPr="00073079" w:rsidRDefault="00073079" w:rsidP="00C75916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C75916">
      <w:pPr>
        <w:spacing w:before="108" w:after="108"/>
        <w:ind w:left="-567" w:firstLine="720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4" w:name="sub_14"/>
      <w:r w:rsidRPr="00073079">
        <w:rPr>
          <w:rFonts w:ascii="Times New Roman CYR" w:eastAsiaTheme="minorEastAsia" w:hAnsi="Times New Roman CYR" w:cs="Times New Roman CYR"/>
          <w:b/>
          <w:bCs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4"/>
    <w:p w:rsidR="00073079" w:rsidRPr="00073079" w:rsidRDefault="00073079" w:rsidP="00C75916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C75916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14.1. В антикоррупционной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коллективных антикоррупционных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инициативах.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антикоррупционных мер во всех контролируемых ею дочерних структурах.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14.3.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В Организации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5" w:name="sub_15"/>
      <w:r w:rsidRPr="00073079">
        <w:rPr>
          <w:rFonts w:ascii="Times New Roman CYR" w:eastAsiaTheme="minorEastAsia" w:hAnsi="Times New Roman CYR" w:cs="Times New Roman CYR"/>
          <w:b/>
          <w:bCs/>
        </w:rPr>
        <w:t>15. Сотрудничество с правоохранительными органами в сфере противодействия коррупции</w:t>
      </w:r>
    </w:p>
    <w:bookmarkEnd w:id="15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Организации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декларируемым антикоррупционным стандартам поведения.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15.2.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15.3.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 xml:space="preserve">Организация принимает на себя обязательство воздерживаться от каких-либо </w:t>
      </w:r>
      <w:r w:rsidRPr="00073079">
        <w:rPr>
          <w:rFonts w:ascii="Times New Roman CYR" w:eastAsiaTheme="minorEastAsia" w:hAnsi="Times New Roman CYR" w:cs="Times New Roman CYR"/>
        </w:rPr>
        <w:lastRenderedPageBreak/>
        <w:t>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15.4. Сотрудничество с правоохранительными органами также проявляется в форме: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15.5. Руководству Организац</w:t>
      </w:r>
      <w:proofErr w:type="gramStart"/>
      <w:r w:rsidRPr="00073079">
        <w:rPr>
          <w:rFonts w:ascii="Times New Roman CYR" w:eastAsiaTheme="minorEastAsia" w:hAnsi="Times New Roman CYR" w:cs="Times New Roman CYR"/>
        </w:rPr>
        <w:t>ии и ее</w:t>
      </w:r>
      <w:proofErr w:type="gramEnd"/>
      <w:r w:rsidRPr="00073079">
        <w:rPr>
          <w:rFonts w:ascii="Times New Roman CYR" w:eastAsiaTheme="minorEastAsia" w:hAnsi="Times New Roman CYR" w:cs="Times New Roman CYR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6" w:name="sub_16"/>
      <w:r w:rsidRPr="00073079">
        <w:rPr>
          <w:rFonts w:ascii="Times New Roman CYR" w:eastAsiaTheme="minorEastAsia" w:hAnsi="Times New Roman CYR" w:cs="Times New Roman CYR"/>
          <w:b/>
          <w:bCs/>
        </w:rPr>
        <w:t>16. Ответственность сотрудников за несоблюдение требований антикоррупционной политики</w:t>
      </w:r>
    </w:p>
    <w:bookmarkEnd w:id="16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16.1. </w:t>
      </w:r>
      <w:proofErr w:type="gramStart"/>
      <w:r w:rsidRPr="00073079">
        <w:rPr>
          <w:rFonts w:ascii="Times New Roman CYR" w:eastAsiaTheme="minorEastAsia" w:hAnsi="Times New Roman CYR" w:cs="Times New Roman CYR"/>
        </w:rPr>
        <w:t xml:space="preserve">Организация и все ее сотрудники должны соблюдать нормы действующего антикоррупционного законодательства РФ, в том числе </w:t>
      </w:r>
      <w:hyperlink r:id="rId18" w:history="1">
        <w:r w:rsidRPr="00073079">
          <w:rPr>
            <w:rFonts w:ascii="Times New Roman CYR" w:eastAsiaTheme="minorEastAsia" w:hAnsi="Times New Roman CYR" w:cs="Times New Roman CYR"/>
          </w:rPr>
          <w:t>Уголовного кодекса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РФ, </w:t>
      </w:r>
      <w:hyperlink r:id="rId19" w:history="1">
        <w:r w:rsidRPr="00073079">
          <w:rPr>
            <w:rFonts w:ascii="Times New Roman CYR" w:eastAsiaTheme="minorEastAsia" w:hAnsi="Times New Roman CYR" w:cs="Times New Roman CYR"/>
          </w:rPr>
          <w:t>Кодекса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Российской Федерации об административных правонарушениях, </w:t>
      </w:r>
      <w:hyperlink r:id="rId20" w:history="1">
        <w:r w:rsidRPr="00073079">
          <w:rPr>
            <w:rFonts w:ascii="Times New Roman CYR" w:eastAsiaTheme="minorEastAsia" w:hAnsi="Times New Roman CYR" w:cs="Times New Roman CYR"/>
          </w:rPr>
          <w:t>Федерального закона</w:t>
        </w:r>
      </w:hyperlink>
      <w:r w:rsidRPr="00073079">
        <w:rPr>
          <w:rFonts w:ascii="Times New Roman CYR" w:eastAsiaTheme="minorEastAsia" w:hAnsi="Times New Roman CYR" w:cs="Times New Roman CYR"/>
        </w:rPr>
        <w:t xml:space="preserve"> от 25 декабря 2008 г. N 273-ФЗ "О противодействии коррупции".</w:t>
      </w:r>
      <w:proofErr w:type="gramEnd"/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16.2. Все работники Организации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spacing w:before="108" w:after="108"/>
        <w:ind w:left="-567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7" w:name="sub_17"/>
      <w:r w:rsidRPr="00073079">
        <w:rPr>
          <w:rFonts w:ascii="Times New Roman CYR" w:eastAsiaTheme="minorEastAsia" w:hAnsi="Times New Roman CYR" w:cs="Times New Roman CYR"/>
          <w:b/>
          <w:bCs/>
        </w:rPr>
        <w:t>17. Порядок пересмотра и внесения изменений в антикоррупционную политику организации</w:t>
      </w:r>
    </w:p>
    <w:bookmarkEnd w:id="17"/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 xml:space="preserve">17.1. Организация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4F4DC7">
        <w:rPr>
          <w:rFonts w:ascii="Times New Roman CYR" w:eastAsiaTheme="minorEastAsia" w:hAnsi="Times New Roman CYR" w:cs="Times New Roman CYR"/>
        </w:rPr>
        <w:t>главному врачу</w:t>
      </w:r>
      <w:r w:rsidRPr="00073079">
        <w:rPr>
          <w:rFonts w:ascii="Times New Roman CYR" w:eastAsiaTheme="minorEastAsia" w:hAnsi="Times New Roman CYR" w:cs="Times New Roman CYR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  <w:r w:rsidRPr="00073079">
        <w:rPr>
          <w:rFonts w:ascii="Times New Roman CYR" w:eastAsiaTheme="minorEastAsia" w:hAnsi="Times New Roman CYR" w:cs="Times New Roman CYR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073079" w:rsidRPr="00073079" w:rsidRDefault="00073079" w:rsidP="00073079">
      <w:pPr>
        <w:ind w:left="-567" w:firstLine="720"/>
        <w:jc w:val="both"/>
        <w:rPr>
          <w:rFonts w:ascii="Times New Roman CYR" w:eastAsiaTheme="minorEastAsia" w:hAnsi="Times New Roman CYR" w:cs="Times New Roman CYR"/>
        </w:rPr>
      </w:pPr>
    </w:p>
    <w:p w:rsidR="00611236" w:rsidRPr="00073079" w:rsidRDefault="00611236" w:rsidP="00073079">
      <w:pPr>
        <w:ind w:left="-567" w:right="-819"/>
      </w:pPr>
    </w:p>
    <w:sectPr w:rsidR="00611236" w:rsidRPr="00073079" w:rsidSect="00073079">
      <w:headerReference w:type="default" r:id="rId21"/>
      <w:footerReference w:type="default" r:id="rId22"/>
      <w:headerReference w:type="first" r:id="rId23"/>
      <w:pgSz w:w="11905" w:h="16837"/>
      <w:pgMar w:top="426" w:right="706" w:bottom="567" w:left="1755" w:header="720" w:footer="41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66" w:rsidRDefault="00674C66">
      <w:r>
        <w:separator/>
      </w:r>
    </w:p>
  </w:endnote>
  <w:endnote w:type="continuationSeparator" w:id="0">
    <w:p w:rsidR="00674C66" w:rsidRDefault="006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73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3F3C" w:rsidRPr="004F4DC7" w:rsidRDefault="00F13F3C" w:rsidP="0088793E">
        <w:pPr>
          <w:pStyle w:val="a6"/>
          <w:jc w:val="center"/>
          <w:rPr>
            <w:sz w:val="20"/>
            <w:szCs w:val="20"/>
          </w:rPr>
        </w:pPr>
        <w:r w:rsidRPr="004F4DC7">
          <w:rPr>
            <w:sz w:val="20"/>
            <w:szCs w:val="20"/>
          </w:rPr>
          <w:fldChar w:fldCharType="begin"/>
        </w:r>
        <w:r w:rsidRPr="004F4DC7">
          <w:rPr>
            <w:sz w:val="20"/>
            <w:szCs w:val="20"/>
          </w:rPr>
          <w:instrText>PAGE   \* MERGEFORMAT</w:instrText>
        </w:r>
        <w:r w:rsidRPr="004F4DC7">
          <w:rPr>
            <w:sz w:val="20"/>
            <w:szCs w:val="20"/>
          </w:rPr>
          <w:fldChar w:fldCharType="separate"/>
        </w:r>
        <w:r w:rsidR="009F3F46">
          <w:rPr>
            <w:noProof/>
            <w:sz w:val="20"/>
            <w:szCs w:val="20"/>
          </w:rPr>
          <w:t>4</w:t>
        </w:r>
        <w:r w:rsidRPr="004F4DC7">
          <w:rPr>
            <w:sz w:val="20"/>
            <w:szCs w:val="20"/>
          </w:rPr>
          <w:fldChar w:fldCharType="end"/>
        </w:r>
      </w:p>
    </w:sdtContent>
  </w:sdt>
  <w:p w:rsidR="00F13F3C" w:rsidRDefault="00F13F3C" w:rsidP="0088793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66" w:rsidRDefault="00674C66">
      <w:r>
        <w:separator/>
      </w:r>
    </w:p>
  </w:footnote>
  <w:footnote w:type="continuationSeparator" w:id="0">
    <w:p w:rsidR="00674C66" w:rsidRDefault="0067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674C66" w:rsidP="009A057B">
    <w:pPr>
      <w:pStyle w:val="Style4"/>
      <w:widowControl/>
      <w:ind w:left="57" w:right="57"/>
      <w:jc w:val="center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674C6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37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9406A"/>
    <w:multiLevelType w:val="hybridMultilevel"/>
    <w:tmpl w:val="4F40CA62"/>
    <w:lvl w:ilvl="0" w:tplc="DD685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0E7090"/>
    <w:multiLevelType w:val="multilevel"/>
    <w:tmpl w:val="DD50F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DB73F86"/>
    <w:multiLevelType w:val="multilevel"/>
    <w:tmpl w:val="D45E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07390F"/>
    <w:multiLevelType w:val="hybridMultilevel"/>
    <w:tmpl w:val="B40CDE26"/>
    <w:lvl w:ilvl="0" w:tplc="1E3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829B2"/>
    <w:multiLevelType w:val="hybridMultilevel"/>
    <w:tmpl w:val="D744F494"/>
    <w:lvl w:ilvl="0" w:tplc="46EA0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0102B1"/>
    <w:multiLevelType w:val="multilevel"/>
    <w:tmpl w:val="4B2C56C6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EB02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C36AC1"/>
    <w:multiLevelType w:val="multilevel"/>
    <w:tmpl w:val="73BC929E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11">
    <w:nsid w:val="5E8F581C"/>
    <w:multiLevelType w:val="multilevel"/>
    <w:tmpl w:val="AEF20E5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2">
    <w:nsid w:val="655C5914"/>
    <w:multiLevelType w:val="multilevel"/>
    <w:tmpl w:val="3E48C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A8A0C4D"/>
    <w:multiLevelType w:val="hybridMultilevel"/>
    <w:tmpl w:val="492206EE"/>
    <w:lvl w:ilvl="0" w:tplc="6F800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75D76FF"/>
    <w:multiLevelType w:val="multilevel"/>
    <w:tmpl w:val="2D8C9F9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>
    <w:nsid w:val="796858EC"/>
    <w:multiLevelType w:val="multilevel"/>
    <w:tmpl w:val="3E78EA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79917FA9"/>
    <w:multiLevelType w:val="hybridMultilevel"/>
    <w:tmpl w:val="D5AE27E4"/>
    <w:lvl w:ilvl="0" w:tplc="5CC21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8552F3"/>
    <w:multiLevelType w:val="multilevel"/>
    <w:tmpl w:val="1A768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E"/>
    <w:rsid w:val="00073079"/>
    <w:rsid w:val="00095CA4"/>
    <w:rsid w:val="000B15B9"/>
    <w:rsid w:val="001A3C9D"/>
    <w:rsid w:val="001B2965"/>
    <w:rsid w:val="001F2FA3"/>
    <w:rsid w:val="001F766A"/>
    <w:rsid w:val="00210C77"/>
    <w:rsid w:val="002C4EDE"/>
    <w:rsid w:val="003464D5"/>
    <w:rsid w:val="00350E8D"/>
    <w:rsid w:val="0036620B"/>
    <w:rsid w:val="00377002"/>
    <w:rsid w:val="00490267"/>
    <w:rsid w:val="004B32E8"/>
    <w:rsid w:val="004F4DC7"/>
    <w:rsid w:val="00503EA8"/>
    <w:rsid w:val="005152E7"/>
    <w:rsid w:val="005473B0"/>
    <w:rsid w:val="005D0A7C"/>
    <w:rsid w:val="005D671C"/>
    <w:rsid w:val="005D6A82"/>
    <w:rsid w:val="00611236"/>
    <w:rsid w:val="006142E3"/>
    <w:rsid w:val="00674C66"/>
    <w:rsid w:val="006841AE"/>
    <w:rsid w:val="006D5233"/>
    <w:rsid w:val="00733C35"/>
    <w:rsid w:val="00740AD9"/>
    <w:rsid w:val="008224FA"/>
    <w:rsid w:val="00844162"/>
    <w:rsid w:val="0086414B"/>
    <w:rsid w:val="00873197"/>
    <w:rsid w:val="0088793E"/>
    <w:rsid w:val="008A48AE"/>
    <w:rsid w:val="008B13DD"/>
    <w:rsid w:val="009A057B"/>
    <w:rsid w:val="009F3F46"/>
    <w:rsid w:val="00A003DD"/>
    <w:rsid w:val="00A054A5"/>
    <w:rsid w:val="00AB2EEF"/>
    <w:rsid w:val="00AF0D70"/>
    <w:rsid w:val="00AF79CE"/>
    <w:rsid w:val="00B0239F"/>
    <w:rsid w:val="00B04F6B"/>
    <w:rsid w:val="00B92B56"/>
    <w:rsid w:val="00BF0212"/>
    <w:rsid w:val="00C75916"/>
    <w:rsid w:val="00D83C6F"/>
    <w:rsid w:val="00DF2C98"/>
    <w:rsid w:val="00E06FF0"/>
    <w:rsid w:val="00E1333C"/>
    <w:rsid w:val="00E6492E"/>
    <w:rsid w:val="00E92AC4"/>
    <w:rsid w:val="00EE4E0F"/>
    <w:rsid w:val="00F13F3C"/>
    <w:rsid w:val="00F25F29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33" TargetMode="External"/><Relationship Id="rId13" Type="http://schemas.openxmlformats.org/officeDocument/2006/relationships/hyperlink" Target="http://internet.garant.ru/document/redirect/12164203/3" TargetMode="External"/><Relationship Id="rId18" Type="http://schemas.openxmlformats.org/officeDocument/2006/relationships/hyperlink" Target="http://internet.garant.ru/document/redirect/10108000/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8000/20401" TargetMode="External"/><Relationship Id="rId17" Type="http://schemas.openxmlformats.org/officeDocument/2006/relationships/hyperlink" Target="http://internet.garant.ru/document/redirect/70103036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0" TargetMode="External"/><Relationship Id="rId20" Type="http://schemas.openxmlformats.org/officeDocument/2006/relationships/hyperlink" Target="http://internet.garant.ru/document/redirect/12164203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10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705" TargetMode="External"/><Relationship Id="rId23" Type="http://schemas.openxmlformats.org/officeDocument/2006/relationships/header" Target="header2.xml"/><Relationship Id="rId10" Type="http://schemas.openxmlformats.org/officeDocument/2006/relationships/hyperlink" Target="http://internet.garant.ru/document/redirect/12164203/101" TargetMode="External"/><Relationship Id="rId19" Type="http://schemas.openxmlformats.org/officeDocument/2006/relationships/hyperlink" Target="http://internet.garant.ru/document/redirect/121252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99600/0" TargetMode="External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2016-04-22T08:35:00Z</cp:lastPrinted>
  <dcterms:created xsi:type="dcterms:W3CDTF">2023-12-11T07:08:00Z</dcterms:created>
  <dcterms:modified xsi:type="dcterms:W3CDTF">2023-12-11T11:59:00Z</dcterms:modified>
</cp:coreProperties>
</file>